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2021-05-04  skelbiama laisva  ikimokyklinio ugdymo auklėtojo darbo vieta  (1 etatas)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Pareigybės pavadinimas: ikimokyklinio ugdymo auklėtojas.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krūvis: 1 etatas –  (36 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sutarties rūšis: terminuota.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  valstybinės kalbos įstatymo nustatytus reikalavimus.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patirtis ikimokyklinio ugdymo įstaigoje;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projektinio darbo patirtis;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Informaciją teikia lopšelio-darželio direktoriaus pavaduotoja ugdymui.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Dokumentai pateikiami iki 2021-05-18,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lastRenderedPageBreak/>
        <w:t>Atrankos data: 2021-05-19.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 w:rsidRPr="00617EC1">
        <w:rPr>
          <w:rStyle w:val="Grietas"/>
        </w:rPr>
        <w:t>Įdarbinama nuo 2021 m. gegužės 20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2021-05-04</w:t>
      </w:r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617EC1"/>
    <w:rsid w:val="00A20F0E"/>
    <w:rsid w:val="00B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BF1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1</cp:revision>
  <dcterms:created xsi:type="dcterms:W3CDTF">2021-05-17T07:48:00Z</dcterms:created>
  <dcterms:modified xsi:type="dcterms:W3CDTF">2021-05-17T07:58:00Z</dcterms:modified>
</cp:coreProperties>
</file>