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794" w:gutter="0"/>
          <w:pgNumType w:start="0"/>
          <w:cols w:space="1296"/>
          <w:titlePg/>
          <w:docGrid w:linePitch="360"/>
        </w:sectPr>
      </w:pPr>
    </w:p>
    <w:p>
      <w:pPr>
        <w:widowControl w:val="0"/>
        <w:suppressAutoHyphens/>
        <w:ind w:firstLine="4536"/>
        <w:rPr>
          <w:color w:val="000000"/>
        </w:rPr>
      </w:pPr>
      <w:r>
        <w:rPr>
          <w:color w:val="000000"/>
        </w:rPr>
        <w:t>PATVIRTINTA</w:t>
      </w:r>
    </w:p>
    <w:p>
      <w:pPr>
        <w:widowControl w:val="0"/>
        <w:suppressAutoHyphens/>
        <w:ind w:firstLine="4536"/>
        <w:rPr>
          <w:color w:val="000000"/>
        </w:rPr>
      </w:pPr>
      <w:r>
        <w:rPr>
          <w:color w:val="000000"/>
        </w:rPr>
        <w:t xml:space="preserve">Lietuvos Respublikos sveikatos apsaugos ministro </w:t>
      </w:r>
    </w:p>
    <w:p>
      <w:pPr>
        <w:widowControl w:val="0"/>
        <w:suppressAutoHyphens/>
        <w:ind w:firstLine="4536"/>
        <w:rPr>
          <w:color w:val="000000"/>
        </w:rPr>
      </w:pPr>
      <w:r>
        <w:rPr>
          <w:color w:val="000000"/>
        </w:rPr>
        <w:t>2011 m. lapkričio 11 d. įsakymu Nr. V-964</w:t>
      </w:r>
    </w:p>
    <w:p>
      <w:pPr>
        <w:widowControl w:val="0"/>
        <w:suppressAutoHyphens/>
        <w:ind w:firstLine="4536"/>
        <w:rPr>
          <w:color w:val="000000"/>
        </w:rPr>
      </w:pPr>
      <w:r>
        <w:rPr>
          <w:color w:val="000000"/>
        </w:rPr>
        <w:t>(Lietuvos Respublikos sveikatos apsaugos ministro</w:t>
      </w:r>
    </w:p>
    <w:p>
      <w:pPr>
        <w:widowControl w:val="0"/>
        <w:suppressAutoHyphens/>
        <w:ind w:firstLine="4536"/>
        <w:rPr>
          <w:color w:val="000000"/>
        </w:rPr>
      </w:pPr>
      <w:r>
        <w:rPr>
          <w:color w:val="000000"/>
        </w:rPr>
        <w:t>2018 m. balandžio 10 d. įsakymo Nr. V-394</w:t>
      </w:r>
    </w:p>
    <w:p>
      <w:pPr>
        <w:widowControl w:val="0"/>
        <w:suppressAutoHyphens/>
        <w:ind w:firstLine="4536"/>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ind w:firstLine="851"/>
        <w:jc w:val="both"/>
        <w:rPr>
          <w:color w:val="000000"/>
        </w:rPr>
      </w:pPr>
      <w:r>
        <w:rPr>
          <w:color w:val="000000"/>
        </w:rPr>
        <w:t>5.7</w:t>
      </w:r>
      <w:r>
        <w:rPr>
          <w:color w:val="000000"/>
        </w:rPr>
        <w:t xml:space="preserve">. </w:t>
      </w:r>
      <w:r>
        <w:rPr>
          <w:b/>
          <w:color w:val="000000"/>
        </w:rPr>
        <w:t>Šiltas maistas</w:t>
      </w:r>
      <w:r>
        <w:rPr>
          <w:color w:val="000000"/>
        </w:rPr>
        <w:t xml:space="preserve"> – maistas, patiekiamas kaip karštas patiekalas, iki patiekimo vartoti laikomas ne žemesnėje kaip +63 °C temperatūroje.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widowControl w:val="0"/>
        <w:suppressAutoHyphens/>
        <w:ind w:firstLine="851"/>
        <w:jc w:val="both"/>
        <w:rPr>
          <w:color w:val="000000"/>
        </w:rPr>
      </w:pPr>
      <w:r>
        <w:rPr>
          <w:rFonts w:eastAsia="Calibri"/>
          <w:szCs w:val="24"/>
        </w:rPr>
        <w:t>5.8</w:t>
      </w:r>
      <w:r>
        <w:rPr>
          <w:rFonts w:eastAsia="Calibri"/>
          <w:szCs w:val="24"/>
        </w:rPr>
        <w:t>.</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ind w:firstLine="851"/>
        <w:jc w:val="both"/>
        <w:rPr>
          <w:color w:val="000000"/>
        </w:rPr>
      </w:pPr>
      <w:r>
        <w:rPr>
          <w:color w:val="000000"/>
        </w:rPr>
        <w:t>5.10</w:t>
      </w:r>
      <w:r>
        <w:rPr>
          <w:color w:val="000000"/>
        </w:rPr>
        <w:t xml:space="preserve">. </w:t>
      </w:r>
      <w:r>
        <w:rPr>
          <w:b/>
          <w:bCs/>
          <w:color w:val="000000"/>
        </w:rPr>
        <w:t>Valgiaraštis</w:t>
      </w:r>
      <w:r>
        <w:rPr>
          <w:color w:val="000000"/>
        </w:rPr>
        <w:t xml:space="preserve"> – numatomų patiekti vartoti dienos maisto produktų ir patiekalų sąrašas.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Cs w:val="24"/>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xml:space="preserve">,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widowControl w:val="0"/>
        <w:suppressAutoHyphens/>
        <w:ind w:firstLine="851"/>
        <w:jc w:val="both"/>
        <w:rPr>
          <w:color w:val="000000"/>
        </w:rPr>
      </w:pPr>
      <w:r>
        <w:rPr>
          <w:szCs w:val="24"/>
        </w:rPr>
        <w:t>8</w:t>
      </w:r>
      <w:r>
        <w:rPr>
          <w:szCs w:val="24"/>
        </w:rPr>
        <w:t>.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ind w:firstLine="851"/>
        <w:jc w:val="both"/>
        <w:rPr>
          <w:color w:val="000000"/>
        </w:rPr>
      </w:pPr>
      <w:r>
        <w:rPr>
          <w:color w:val="000000"/>
        </w:rPr>
        <w:t>10</w:t>
      </w:r>
      <w:r>
        <w:rPr>
          <w:color w:val="000000"/>
        </w:rPr>
        <w:t>.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interneto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ind w:firstLine="851"/>
        <w:jc w:val="both"/>
        <w:rPr>
          <w:szCs w:val="24"/>
        </w:rPr>
      </w:pPr>
      <w:r>
        <w:rPr>
          <w:szCs w:val="24"/>
        </w:rPr>
        <w:t>11.1</w:t>
      </w:r>
      <w:r>
        <w:rPr>
          <w:szCs w:val="24"/>
        </w:rPr>
        <w:t xml:space="preserve">.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widowControl w:val="0"/>
        <w:suppressAutoHyphens/>
        <w:ind w:firstLine="851"/>
        <w:jc w:val="both"/>
      </w:pPr>
      <w:r>
        <w:rPr>
          <w:color w:val="000000"/>
        </w:rPr>
        <w:t>14</w:t>
      </w:r>
      <w:r>
        <w:rPr>
          <w:color w:val="000000"/>
        </w:rPr>
        <w:t xml:space="preserve">.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szCs w:val="24"/>
        </w:rPr>
        <w:t>17</w:t>
      </w:r>
      <w:r>
        <w:rPr>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pPr>
      <w:r>
        <w:rPr>
          <w:szCs w:val="24"/>
        </w:rPr>
        <w:t>19</w:t>
      </w:r>
      <w:r>
        <w:rPr>
          <w:szCs w:val="24"/>
        </w:rPr>
        <w:t xml:space="preserve">.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color w:val="000000"/>
        </w:rPr>
        <w:t>22.1</w:t>
      </w:r>
      <w:r>
        <w:rPr>
          <w:color w:val="000000"/>
        </w:rPr>
        <w:t>.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color w:val="000000"/>
        </w:rPr>
        <w:t>22.10</w:t>
      </w:r>
      <w:r>
        <w:rPr>
          <w:color w:val="000000"/>
        </w:rPr>
        <w:t>.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pPr>
      <w:r>
        <w:rPr>
          <w:color w:val="000000"/>
        </w:rPr>
        <w:t>22.15</w:t>
      </w:r>
      <w:r>
        <w:rPr>
          <w:color w:val="000000"/>
        </w:rPr>
        <w:t xml:space="preserve">. </w:t>
      </w:r>
      <w:r>
        <w:t>maistas turi būti patiekiamas estetiškai;</w:t>
      </w:r>
    </w:p>
    <w:p>
      <w:pPr>
        <w:widowControl w:val="0"/>
        <w:suppressAutoHyphens/>
        <w:ind w:firstLine="851"/>
        <w:jc w:val="both"/>
        <w:rPr>
          <w:color w:val="000000"/>
        </w:rPr>
      </w:pPr>
      <w:r>
        <w:rPr>
          <w:color w:val="000000"/>
        </w:rPr>
        <w:t>22.16</w:t>
      </w:r>
      <w:r>
        <w:rPr>
          <w:color w:val="000000"/>
        </w:rPr>
        <w:t>. patiekalų gamyboje naudojamoje valgomojoje druskoje turi būti 20–40 mg/kg jodo.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widowControl w:val="0"/>
        <w:suppressAutoHyphens/>
        <w:ind w:firstLine="851"/>
        <w:jc w:val="both"/>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neturi būti pateikiami Tvarkos aprašo reikalavimų neatitinkantys maisto produktai ar patiekalai vaikų maitinimo metu.</w:t>
      </w:r>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 xml:space="preserve">Forma  Nr. E027-1</w:t>
      </w:r>
      <w:r>
        <w:rPr>
          <w:color w:val="000000"/>
        </w:rPr>
        <w:t>). Valgiaraštyje turi būti nurodytos kiekvieno vaiko maitinimo valandos, motinos pieno ar pradinio (tolesnio) maitinimo kūdikių mišinio (toliau – kūdikių mišinys), kito maisto kiekiai;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pStyle w:val="PlainText"/>
        <w:ind w:firstLine="567"/>
        <w:jc w:val="both"/>
        <w:rPr>
          <w:rFonts w:ascii="Times New Roman" w:hAnsi="Times New Roman"/>
          <w:b/>
          <w:bCs/>
          <w:sz w:val="22"/>
        </w:rPr>
      </w:pPr>
      <w:r>
        <w:rPr>
          <w:rFonts w:ascii="Times New Roman" w:hAnsi="Times New Roman"/>
          <w:sz w:val="22"/>
        </w:rPr>
        <w:t>30.3.4</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rPr>
          <w:color w:val="000000"/>
        </w:rPr>
        <w:t>31.4</w:t>
      </w:r>
      <w:r>
        <w:rPr>
          <w:color w:val="000000"/>
        </w:rPr>
        <w:t>.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rPr>
          <w:rFonts w:eastAsia="Calibri"/>
          <w:szCs w:val="24"/>
        </w:rPr>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913"/>
        <w:rPr>
          <w:szCs w:val="24"/>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ind w:firstLine="851"/>
        <w:jc w:val="both"/>
        <w:rPr>
          <w:color w:val="000000"/>
        </w:rPr>
      </w:pPr>
      <w:r>
        <w:rPr>
          <w:color w:val="000000"/>
        </w:rPr>
        <w:t>37.2</w:t>
      </w:r>
      <w:r>
        <w:rPr>
          <w:color w:val="000000"/>
        </w:rPr>
        <w:t xml:space="preserve">. šalti užkandžiai (raštišku vaikų atstovų pagal įstatymą pritarimu (kiekvienų mokslo metų pirmą mėnesį).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pPr>
      <w:r>
        <w:rPr>
          <w:rFonts w:eastAsia="Calibri"/>
          <w:szCs w:val="24"/>
        </w:rPr>
        <w:t>38</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851"/>
        <w:jc w:val="both"/>
        <w:rPr>
          <w:color w:val="000000"/>
        </w:rPr>
      </w:pPr>
      <w:r>
        <w:rPr>
          <w:rFonts w:eastAsia="Calibri"/>
          <w:szCs w:val="24"/>
        </w:rPr>
        <w:t>40</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851"/>
        <w:jc w:val="both"/>
        <w:rPr>
          <w:color w:val="000000"/>
        </w:rPr>
      </w:pPr>
      <w:r>
        <w:t>43</w:t>
      </w:r>
      <w:r>
        <w:t xml:space="preserve">.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15:2021 reikalavimus. Vaikų globos namų šeimynų ir neįgalių vaikų dienos socialinės globos centrų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suppressAutoHyphens/>
        <w:ind w:firstLine="851"/>
        <w:jc w:val="both"/>
        <w:textAlignment w:val="center"/>
        <w:rPr>
          <w:color w:val="000000"/>
        </w:rPr>
      </w:pPr>
      <w:r>
        <w:rPr>
          <w:color w:val="000000"/>
        </w:rPr>
        <w:t>44.3</w:t>
      </w:r>
      <w:r>
        <w:rPr>
          <w:color w:val="000000"/>
        </w:rPr>
        <w:t>. kūdikių mišiniai laikomi, tvarkomi ir ruošiami pagal gamintojo instrukciją virtuvėje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pStyle w:val="PlainText"/>
        <w:ind w:firstLine="567"/>
        <w:jc w:val="both"/>
        <w:rPr>
          <w:rFonts w:ascii="Times New Roman" w:hAnsi="Times New Roman"/>
          <w:b/>
          <w:bCs/>
          <w:sz w:val="22"/>
        </w:rPr>
      </w:pPr>
      <w:r>
        <w:rPr>
          <w:rFonts w:ascii="Times New Roman" w:hAnsi="Times New Roman"/>
          <w:sz w:val="22"/>
        </w:rPr>
        <w:t>44.5</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ind w:firstLine="851"/>
        <w:jc w:val="both"/>
        <w:rPr>
          <w:color w:val="000000"/>
          <w:sz w:val="20"/>
        </w:rPr>
      </w:pPr>
      <w:r>
        <w:rPr>
          <w:color w:val="000000"/>
        </w:rPr>
        <w:t>45.4</w:t>
      </w:r>
      <w:r>
        <w:rPr>
          <w:color w:val="000000"/>
        </w:rPr>
        <w:t>. pagal gydytojo raštiškus nurodymus (</w:t>
      </w:r>
      <w:r>
        <w:rPr>
          <w:rFonts w:eastAsia="Calibri"/>
          <w:szCs w:val="24"/>
        </w:rPr>
        <w:t>Forma Nr. E027-1</w:t>
      </w:r>
      <w:r>
        <w:rPr>
          <w:color w:val="000000"/>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widowControl w:val="0"/>
        <w:suppressAutoHyphens/>
        <w:ind w:firstLine="851"/>
        <w:jc w:val="both"/>
        <w:rPr>
          <w:color w:val="000000"/>
        </w:rPr>
      </w:pPr>
      <w:r>
        <w:rPr>
          <w:szCs w:val="24"/>
        </w:rPr>
        <w:t>46</w:t>
      </w:r>
      <w:r>
        <w:rPr>
          <w:szCs w:val="24"/>
        </w:rPr>
        <w:t>.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widowControl w:val="0"/>
        <w:suppressAutoHyphens/>
        <w:ind w:firstLine="851"/>
        <w:jc w:val="both"/>
        <w:rPr>
          <w:color w:val="000000"/>
        </w:rPr>
      </w:pPr>
      <w:r>
        <w:t>48</w:t>
      </w:r>
      <w:r>
        <w:t xml:space="preserve">.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ind w:firstLine="851"/>
        <w:jc w:val="both"/>
        <w:rPr>
          <w:szCs w:val="24"/>
        </w:rPr>
      </w:pPr>
      <w:r>
        <w:rPr>
          <w:szCs w:val="24"/>
        </w:rPr>
        <w:t>49</w:t>
      </w:r>
      <w:r>
        <w:rPr>
          <w:szCs w:val="24"/>
        </w:rPr>
        <w:t>. Vaikų nuo 1 iki 18 metų amžiaus maitinimo valgiaraščiai sudaromi (pasirinktinai):</w:t>
      </w:r>
    </w:p>
    <w:p>
      <w:pPr>
        <w:ind w:firstLine="851"/>
        <w:jc w:val="both"/>
        <w:rPr>
          <w:szCs w:val="24"/>
        </w:rPr>
      </w:pPr>
      <w:r>
        <w:rPr>
          <w:szCs w:val="24"/>
        </w:rPr>
        <w:t>49.1</w:t>
      </w:r>
      <w:r>
        <w:rPr>
          <w:szCs w:val="24"/>
        </w:rPr>
        <w:t>.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pPr>
        <w:ind w:firstLine="851"/>
        <w:jc w:val="both"/>
        <w:rPr>
          <w:szCs w:val="24"/>
        </w:rPr>
      </w:pPr>
      <w:r>
        <w:rPr>
          <w:szCs w:val="24"/>
        </w:rPr>
        <w:t>49.2</w:t>
      </w:r>
      <w:r>
        <w:rPr>
          <w:szCs w:val="24"/>
        </w:rPr>
        <w:t>. savarankiškai maitinimo paslaugos teikėjo, vadovaujantis Tvarkos aprašo reikalavimais;</w:t>
      </w:r>
    </w:p>
    <w:p>
      <w:pPr>
        <w:ind w:firstLine="851"/>
        <w:jc w:val="both"/>
        <w:rPr>
          <w:color w:val="000000"/>
        </w:rPr>
      </w:pPr>
      <w:r>
        <w:rPr>
          <w:szCs w:val="24"/>
        </w:rPr>
        <w:t>49.3</w:t>
      </w:r>
      <w:r>
        <w:rPr>
          <w:szCs w:val="24"/>
        </w:rPr>
        <w:t>. pagal gydytojo raštiškus nurodymus (Forma Nr. E027-1).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520d20bd5f11e88f64a5ecc703f89b">
        <w:r w:rsidRPr="00532B9F">
          <w:rPr>
            <w:rFonts w:ascii="Times New Roman" w:eastAsia="MS Mincho" w:hAnsi="Times New Roman"/>
            <w:sz w:val="20"/>
            <w:i/>
            <w:iCs/>
            <w:color w:val="0000FF" w:themeColor="hyperlink"/>
            <w:u w:val="single"/>
          </w:rPr>
          <w:t>V-1030</w:t>
        </w:r>
      </w:fldSimple>
      <w:r>
        <w:rPr>
          <w:rFonts w:ascii="Times New Roman" w:eastAsia="MS Mincho" w:hAnsi="Times New Roman"/>
          <w:sz w:val="20"/>
          <w:i/>
          <w:iCs/>
        </w:rPr>
        <w:t>,
2018-09-20,
paskelbta TAR 2018-09-21, i. k. 2018-14822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8ba7b0480e11ea8895faf9aa6b1770">
        <w:r w:rsidRPr="00532B9F">
          <w:rPr>
            <w:rFonts w:ascii="Times New Roman" w:eastAsia="MS Mincho" w:hAnsi="Times New Roman"/>
            <w:sz w:val="20"/>
            <w:i/>
            <w:iCs/>
            <w:color w:val="0000FF" w:themeColor="hyperlink"/>
            <w:u w:val="single"/>
          </w:rPr>
          <w:t>V-109</w:t>
        </w:r>
      </w:fldSimple>
      <w:r>
        <w:rPr>
          <w:rFonts w:ascii="Times New Roman" w:eastAsia="MS Mincho" w:hAnsi="Times New Roman"/>
          <w:sz w:val="20"/>
          <w:i/>
          <w:iCs/>
        </w:rPr>
        <w:t>,
2020-02-03,
paskelbta TAR 2020-02-05, i. k. 2020-02605            </w:t>
      </w:r>
    </w:p>
    <w:p/>
    <w:p>
      <w:pPr>
        <w:widowControl w:val="0"/>
        <w:suppressAutoHyphens/>
        <w:ind w:firstLine="851"/>
        <w:jc w:val="both"/>
        <w:rPr>
          <w:sz w:val="20"/>
          <w:lang w:eastAsia="lt-LT"/>
        </w:rPr>
      </w:pPr>
      <w:r>
        <w:rPr>
          <w:szCs w:val="24"/>
          <w:lang w:eastAsia="lt-LT"/>
        </w:rPr>
        <w:t>50</w:t>
      </w:r>
      <w:r>
        <w:rPr>
          <w:szCs w:val="24"/>
          <w:lang w:eastAsia="lt-LT"/>
        </w:rPr>
        <w:t>.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widowControl w:val="0"/>
        <w:suppressAutoHyphens/>
        <w:ind w:firstLine="851"/>
        <w:jc w:val="both"/>
        <w:rPr>
          <w:rFonts w:eastAsia="Calibri"/>
          <w:szCs w:val="24"/>
          <w:lang w:eastAsia="lt-LT"/>
        </w:rPr>
      </w:pPr>
      <w:r>
        <w:rPr>
          <w:szCs w:val="24"/>
          <w:lang w:eastAsia="lt-LT"/>
        </w:rPr>
        <w:t>1</w:t>
      </w:r>
      <w:r>
        <w:rPr>
          <w:szCs w:val="24"/>
          <w:lang w:eastAsia="lt-LT"/>
        </w:rPr>
        <w:t>.</w:t>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widowControl w:val="0"/>
        <w:suppressAutoHyphens/>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rFonts w:eastAsia="Calibri"/>
          <w:szCs w:val="24"/>
          <w:lang w:eastAsia="lt-LT"/>
        </w:rPr>
      </w:pPr>
      <w:r>
        <w:rPr>
          <w:rFonts w:eastAsia="Calibri"/>
          <w:szCs w:val="24"/>
        </w:rPr>
        <w:t>2.10</w:t>
      </w:r>
      <w:r>
        <w:rPr>
          <w:rFonts w:eastAsia="Calibri"/>
          <w:szCs w:val="24"/>
        </w:rPr>
        <w:t xml:space="preserve">.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pPr>
        <w:jc w:val="both"/>
        <w:rPr>
          <w:szCs w:val="24"/>
          <w:lang w:eastAsia="lt-LT"/>
        </w:rPr>
      </w:pPr>
    </w:p>
    <w:p>
      <w:pPr>
        <w:jc w:val="both"/>
        <w:rPr>
          <w:b/>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widowControl w:val="0"/>
        <w:suppressAutoHyphens/>
        <w:ind w:firstLine="851"/>
        <w:jc w:val="both"/>
        <w:rPr>
          <w:szCs w:val="24"/>
          <w:lang w:eastAsia="lt-LT"/>
        </w:rPr>
      </w:pPr>
      <w:r>
        <w:rPr>
          <w:color w:val="000000"/>
        </w:rPr>
        <w:t>12</w:t>
      </w:r>
      <w:r>
        <w:rPr>
          <w:color w:val="000000"/>
        </w:rPr>
        <w:t xml:space="preserve">.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widowControl w:val="0"/>
        <w:suppressAutoHyphens/>
        <w:ind w:firstLine="851"/>
        <w:jc w:val="both"/>
        <w:rPr>
          <w:szCs w:val="24"/>
          <w:lang w:eastAsia="lt-LT"/>
        </w:rPr>
      </w:pPr>
      <w:r>
        <w:rPr>
          <w:szCs w:val="24"/>
          <w:lang w:eastAsia="lt-LT"/>
        </w:rPr>
        <w:t>13</w:t>
      </w:r>
      <w:r>
        <w:rPr>
          <w:szCs w:val="24"/>
          <w:lang w:eastAsia="lt-LT"/>
        </w:rPr>
        <w:t xml:space="preserve">.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tc>
          <w:tcPr>
            <w:tcW w:w="863"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10 iš jų </w:t>
            </w:r>
          </w:p>
          <w:p>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Kita duona ir duonos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w:t>
            </w:r>
          </w:p>
          <w:p>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rPr>
          <w:color w:val="000000"/>
        </w:rPr>
        <w:sectPr>
          <w:headerReference w:type="even" r:id="rId17"/>
          <w:headerReference w:type="default" r:id="rId18"/>
          <w:footerReference w:type="even" r:id="rId19"/>
          <w:footerReference w:type="default" r:id="rId20"/>
          <w:headerReference w:type="first" r:id="rId21"/>
          <w:footerReference w:type="first" r:id="rId22"/>
          <w:pgSz w:w="11907" w:h="16840" w:code="9"/>
          <w:pgMar w:top="1418" w:right="567" w:bottom="1134" w:left="1701" w:header="567" w:footer="284" w:gutter="0"/>
          <w:pgNumType w:start="1"/>
          <w:cols w:space="1296"/>
          <w:titlePg/>
          <w:docGrid w:linePitch="360"/>
        </w:sectPr>
      </w:pPr>
    </w:p>
    <w:p>
      <w:pPr>
        <w:ind w:left="3888" w:firstLine="1215"/>
        <w:rPr>
          <w:rFonts w:eastAsia="Calibri"/>
          <w:szCs w:val="24"/>
        </w:rPr>
      </w:pPr>
      <w:r>
        <w:rPr>
          <w:rFonts w:eastAsia="Calibri"/>
          <w:szCs w:val="24"/>
        </w:rPr>
        <w:t>Vaikų maitinimo organizavimo tvarkos aprašo</w:t>
      </w:r>
    </w:p>
    <w:p>
      <w:pPr>
        <w:ind w:left="3888" w:firstLine="1215"/>
        <w:rPr>
          <w:rFonts w:eastAsia="Calibri"/>
          <w:szCs w:val="24"/>
        </w:rPr>
      </w:pPr>
      <w:r>
        <w:rPr>
          <w:rFonts w:eastAsia="Calibri"/>
          <w:szCs w:val="24"/>
        </w:rPr>
        <w:t>6 priedas</w:t>
      </w:r>
    </w:p>
    <w:p>
      <w:pPr>
        <w:rPr>
          <w:rFonts w:eastAsiaTheme="minorHAnsi"/>
          <w:szCs w:val="24"/>
        </w:rPr>
      </w:pPr>
    </w:p>
    <w:p>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naudojamas šalto spaudimo nerafinuotas aliejus (rapsų, alyvuogių, linų sėmenų ir kt.).</w:t>
            </w:r>
          </w:p>
          <w:p>
            <w:pPr>
              <w:rPr>
                <w:szCs w:val="24"/>
              </w:rPr>
            </w:pPr>
            <w:r>
              <w:rPr>
                <w:szCs w:val="24"/>
              </w:rPr>
              <w:t>10.2. Kepimui naudojamas kepti tinkantis aliejus.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spacing w:line="276" w:lineRule="auto"/>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14.1. Viso grūdo ar iš dalies viso grūdo pyragai, bandelės.</w:t>
            </w:r>
          </w:p>
          <w:p>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15.1. Jei tiekiamos su kitais patiekalais,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17.1. Medus, grybai tiekiami ne jaunesniems kaip 3 metų amžiaus vaikams.</w:t>
            </w:r>
          </w:p>
        </w:tc>
      </w:tr>
    </w:tbl>
    <w:p>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spacing w:after="120"/>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rPr>
          <w:szCs w:val="24"/>
          <w:lang w:eastAsia="lt-LT"/>
        </w:rPr>
      </w:pPr>
    </w:p>
    <w:p>
      <w:pPr>
        <w:ind w:left="3888"/>
        <w:jc w:val="right"/>
        <w:rPr>
          <w:szCs w:val="24"/>
          <w:lang w:eastAsia="lt-LT"/>
        </w:rPr>
        <w:sectPr>
          <w:pgSz w:w="11907" w:h="16840" w:code="9"/>
          <w:pgMar w:top="1418" w:right="567" w:bottom="1134" w:left="1701" w:header="567" w:footer="284" w:gutter="0"/>
          <w:pgNumType w:start="1"/>
          <w:cols w:space="1296"/>
          <w:titlePg/>
          <w:docGrid w:linePitch="360"/>
        </w:sectPr>
      </w:pPr>
    </w:p>
    <w:p>
      <w:pPr>
        <w:ind w:left="3888"/>
        <w:jc w:val="right"/>
        <w:rPr>
          <w:szCs w:val="24"/>
          <w:lang w:eastAsia="lt-LT"/>
        </w:rPr>
      </w:pPr>
      <w:r>
        <w:rPr>
          <w:szCs w:val="24"/>
          <w:lang w:eastAsia="lt-LT"/>
        </w:rPr>
        <w:t xml:space="preserve">Vaikų maitinimo organizavimo tvarkos aprašo </w:t>
      </w:r>
    </w:p>
    <w:p>
      <w:pPr>
        <w:ind w:left="3888" w:firstLine="1296"/>
        <w:rPr>
          <w:szCs w:val="24"/>
          <w:lang w:eastAsia="lt-LT"/>
        </w:rPr>
      </w:pPr>
      <w:r>
        <w:rPr>
          <w:szCs w:val="24"/>
          <w:lang w:eastAsia="lt-LT"/>
        </w:rPr>
        <w:t>8 priedas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Cs w:val="24"/>
          <w:lang w:eastAsia="lt-LT"/>
        </w:rPr>
        <w:t>(Valgiaraščio formos pavyzdys)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0"/>
          <w:szCs w:val="40"/>
          <w:lang w:eastAsia="lt-LT"/>
        </w:rPr>
        <w:t>___________________________________________</w:t>
      </w:r>
    </w:p>
    <w:p>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4"/>
          <w:szCs w:val="44"/>
          <w:lang w:eastAsia="lt-LT"/>
        </w:rPr>
        <w:t>_____ DIENŲ VALGIARAŠTIS</w:t>
      </w:r>
    </w:p>
    <w:p>
      <w:pPr>
        <w:ind w:firstLine="1276"/>
        <w:rPr>
          <w:szCs w:val="24"/>
          <w:lang w:eastAsia="lt-LT"/>
        </w:rPr>
      </w:pPr>
      <w:r>
        <w:rPr>
          <w:sz w:val="20"/>
          <w:lang w:eastAsia="lt-LT"/>
        </w:rPr>
        <w:t>(nurodyti dienų skaičių)</w:t>
      </w:r>
    </w:p>
    <w:p>
      <w:pPr>
        <w:jc w:val="center"/>
        <w:rPr>
          <w:szCs w:val="24"/>
          <w:lang w:eastAsia="lt-LT"/>
        </w:rPr>
      </w:pPr>
      <w:r>
        <w:rPr>
          <w:sz w:val="40"/>
          <w:szCs w:val="40"/>
          <w:lang w:eastAsia="lt-LT"/>
        </w:rPr>
        <w:t>_______</w:t>
      </w:r>
    </w:p>
    <w:p>
      <w:pPr>
        <w:ind w:firstLine="3664"/>
        <w:rPr>
          <w:szCs w:val="24"/>
          <w:lang w:eastAsia="lt-LT"/>
        </w:rPr>
      </w:pPr>
      <w:r>
        <w:rPr>
          <w:sz w:val="20"/>
          <w:lang w:eastAsia="lt-LT"/>
        </w:rPr>
        <w:t>(nurodyti vaikų amžiaus grupę)</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ind w:left="6412"/>
        <w:jc w:val="center"/>
        <w:rPr>
          <w:szCs w:val="24"/>
          <w:lang w:eastAsia="lt-LT"/>
        </w:rPr>
      </w:pPr>
      <w:r>
        <w:rPr>
          <w:szCs w:val="24"/>
          <w:lang w:eastAsia="lt-LT"/>
        </w:rPr>
        <w:t>Įstaigos darbo laikas</w:t>
      </w:r>
    </w:p>
    <w:p>
      <w:pPr>
        <w:ind w:left="6412"/>
        <w:jc w:val="center"/>
        <w:rPr>
          <w:szCs w:val="24"/>
          <w:lang w:eastAsia="lt-LT"/>
        </w:rPr>
      </w:pPr>
      <w:r>
        <w:rPr>
          <w:szCs w:val="24"/>
          <w:lang w:eastAsia="lt-LT"/>
        </w:rPr>
        <w:t>Nuo __ iki__ val.</w:t>
      </w:r>
    </w:p>
    <w:p>
      <w:pPr>
        <w:jc w:val="center"/>
        <w:rPr>
          <w:szCs w:val="24"/>
          <w:lang w:eastAsia="lt-LT"/>
        </w:rPr>
      </w:pPr>
      <w:r>
        <w:rPr>
          <w:szCs w:val="24"/>
          <w:lang w:eastAsia="lt-LT"/>
        </w:rPr>
        <w:t> </w:t>
      </w: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trPr>
          <w:trHeight w:val="300"/>
        </w:trPr>
        <w:tc>
          <w:tcPr>
            <w:tcW w:w="8823" w:type="dxa"/>
            <w:gridSpan w:val="7"/>
            <w:noWrap/>
            <w:tcMar>
              <w:top w:w="0" w:type="dxa"/>
              <w:left w:w="108" w:type="dxa"/>
              <w:bottom w:w="0" w:type="dxa"/>
              <w:right w:w="108" w:type="dxa"/>
            </w:tcMar>
            <w:vAlign w:val="bottom"/>
            <w:hideMark/>
          </w:tcPr>
          <w:p>
            <w:pPr>
              <w:rPr>
                <w:szCs w:val="24"/>
                <w:lang w:eastAsia="lt-LT"/>
              </w:rPr>
            </w:pPr>
            <w:r>
              <w:rPr>
                <w:b/>
                <w:bCs/>
                <w:color w:val="000000"/>
                <w:szCs w:val="24"/>
                <w:lang w:eastAsia="lt-LT"/>
              </w:rPr>
              <w:t> </w:t>
            </w:r>
          </w:p>
        </w:tc>
      </w:tr>
      <w:tr>
        <w:trPr>
          <w:trHeight w:val="300"/>
        </w:trPr>
        <w:tc>
          <w:tcPr>
            <w:tcW w:w="1452" w:type="dxa"/>
            <w:noWrap/>
            <w:tcMar>
              <w:top w:w="0" w:type="dxa"/>
              <w:left w:w="108" w:type="dxa"/>
              <w:bottom w:w="0" w:type="dxa"/>
              <w:right w:w="108" w:type="dxa"/>
            </w:tcMar>
            <w:vAlign w:val="bottom"/>
            <w:hideMark/>
          </w:tcPr>
          <w:p>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rPr>
                <w:color w:val="000000"/>
                <w:szCs w:val="24"/>
                <w:lang w:eastAsia="lt-LT"/>
              </w:rPr>
            </w:pPr>
            <w:r>
              <w:rPr>
                <w:color w:val="000000"/>
                <w:szCs w:val="24"/>
                <w:lang w:eastAsia="lt-LT"/>
              </w:rPr>
              <w:t xml:space="preserve">Pirmadienis     </w:t>
            </w:r>
          </w:p>
          <w:p>
            <w:pPr>
              <w:rPr>
                <w:szCs w:val="24"/>
                <w:lang w:eastAsia="lt-LT"/>
              </w:rPr>
            </w:pPr>
          </w:p>
          <w:p>
            <w:pPr>
              <w:jc w:val="center"/>
              <w:rPr>
                <w:szCs w:val="24"/>
                <w:lang w:eastAsia="lt-LT"/>
              </w:rPr>
            </w:pPr>
            <w:r>
              <w:rPr>
                <w:color w:val="000000"/>
                <w:szCs w:val="24"/>
                <w:lang w:eastAsia="lt-LT"/>
              </w:rPr>
              <w:t xml:space="preserve">Maitinimas        val. </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trPr>
          <w:trHeight w:val="570"/>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bl>
    <w:p>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f996f0eb7411eb9f09e7df20500045">
        <w:r w:rsidRPr="00532B9F">
          <w:rPr>
            <w:rFonts w:ascii="Times New Roman" w:eastAsia="MS Mincho" w:hAnsi="Times New Roman"/>
            <w:sz w:val="20"/>
            <w:i/>
            <w:iCs/>
            <w:color w:val="0000FF" w:themeColor="hyperlink"/>
            <w:u w:val="single"/>
          </w:rPr>
          <w:t>V-1707</w:t>
        </w:r>
      </w:fldSimple>
      <w:r>
        <w:rPr>
          <w:rFonts w:ascii="Times New Roman" w:eastAsia="MS Mincho" w:hAnsi="Times New Roman"/>
          <w:sz w:val="20"/>
          <w:i/>
          <w:iCs/>
        </w:rPr>
        <w:t>,
2021-07-22,
paskelbta TAR 2021-07-23, i. k. 2021-16380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520d20bd5f11e88f64a5ecc703f89b">
        <w:r w:rsidRPr="00532B9F">
          <w:rPr>
            <w:rFonts w:ascii="Times New Roman" w:eastAsia="MS Mincho" w:hAnsi="Times New Roman"/>
            <w:sz w:val="20"/>
            <w:iCs/>
            <w:color w:val="0000FF" w:themeColor="hyperlink"/>
            <w:u w:val="single"/>
          </w:rPr>
          <w:t>V-1030</w:t>
        </w:r>
      </w:fldSimple>
      <w:r>
        <w:rPr>
          <w:rFonts w:ascii="Times New Roman" w:eastAsia="MS Mincho" w:hAnsi="Times New Roman"/>
          <w:sz w:val="20"/>
          <w:iCs/>
        </w:rPr>
        <w:t>,
2018-09-20,
paskelbta TAR 2018-09-21, i. k. 2018-14822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2847d01ce411eabe008ea93139d588">
        <w:r w:rsidRPr="00532B9F">
          <w:rPr>
            <w:rFonts w:ascii="Times New Roman" w:eastAsia="MS Mincho" w:hAnsi="Times New Roman"/>
            <w:sz w:val="20"/>
            <w:iCs/>
            <w:color w:val="0000FF" w:themeColor="hyperlink"/>
            <w:u w:val="single"/>
          </w:rPr>
          <w:t>V-1430</w:t>
        </w:r>
      </w:fldSimple>
      <w:r>
        <w:rPr>
          <w:rFonts w:ascii="Times New Roman" w:eastAsia="MS Mincho" w:hAnsi="Times New Roman"/>
          <w:sz w:val="20"/>
          <w:iCs/>
        </w:rPr>
        <w:t>,
2019-12-11,
paskelbta TAR 2019-12-12, i. k. 2019-20056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8ba7b0480e11ea8895faf9aa6b1770">
        <w:r w:rsidRPr="00532B9F">
          <w:rPr>
            <w:rFonts w:ascii="Times New Roman" w:eastAsia="MS Mincho" w:hAnsi="Times New Roman"/>
            <w:sz w:val="20"/>
            <w:iCs/>
            <w:color w:val="0000FF" w:themeColor="hyperlink"/>
            <w:u w:val="single"/>
          </w:rPr>
          <w:t>V-109</w:t>
        </w:r>
      </w:fldSimple>
      <w:r>
        <w:rPr>
          <w:rFonts w:ascii="Times New Roman" w:eastAsia="MS Mincho" w:hAnsi="Times New Roman"/>
          <w:sz w:val="20"/>
          <w:iCs/>
        </w:rPr>
        <w:t>,
2020-02-03,
paskelbta TAR 2020-02-05, i. k. 2020-02605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c5d720692411eabee4a336e7e6fdab">
        <w:r w:rsidRPr="00532B9F">
          <w:rPr>
            <w:rFonts w:ascii="Times New Roman" w:eastAsia="MS Mincho" w:hAnsi="Times New Roman"/>
            <w:sz w:val="20"/>
            <w:iCs/>
            <w:color w:val="0000FF" w:themeColor="hyperlink"/>
            <w:u w:val="single"/>
          </w:rPr>
          <w:t>V-421</w:t>
        </w:r>
      </w:fldSimple>
      <w:r>
        <w:rPr>
          <w:rFonts w:ascii="Times New Roman" w:eastAsia="MS Mincho" w:hAnsi="Times New Roman"/>
          <w:sz w:val="20"/>
          <w:iCs/>
        </w:rPr>
        <w:t>,
2020-03-18,
paskelbta TAR 2020-03-18, i. k. 2020-05677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a991b00e1f011ea9342c1d4e2ff6ff6">
        <w:r w:rsidRPr="00532B9F">
          <w:rPr>
            <w:rFonts w:ascii="Times New Roman" w:eastAsia="MS Mincho" w:hAnsi="Times New Roman"/>
            <w:sz w:val="20"/>
            <w:iCs/>
            <w:color w:val="0000FF" w:themeColor="hyperlink"/>
            <w:u w:val="single"/>
          </w:rPr>
          <w:t>V-1862</w:t>
        </w:r>
      </w:fldSimple>
      <w:r>
        <w:rPr>
          <w:rFonts w:ascii="Times New Roman" w:eastAsia="MS Mincho" w:hAnsi="Times New Roman"/>
          <w:sz w:val="20"/>
          <w:iCs/>
        </w:rPr>
        <w:t>,
2020-08-18,
paskelbta TAR 2020-08-19, i. k. 2020-17538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d70631067d811eb9dc7b575f08e8bea">
        <w:r w:rsidRPr="00532B9F">
          <w:rPr>
            <w:rFonts w:ascii="Times New Roman" w:eastAsia="MS Mincho" w:hAnsi="Times New Roman"/>
            <w:sz w:val="20"/>
            <w:iCs/>
            <w:color w:val="0000FF" w:themeColor="hyperlink"/>
            <w:u w:val="single"/>
          </w:rPr>
          <w:t>V-244</w:t>
        </w:r>
      </w:fldSimple>
      <w:r>
        <w:rPr>
          <w:rFonts w:ascii="Times New Roman" w:eastAsia="MS Mincho" w:hAnsi="Times New Roman"/>
          <w:sz w:val="20"/>
          <w:iCs/>
        </w:rPr>
        <w:t>,
2021-02-05,
paskelbta TAR 2021-02-05, i. k. 2021-02371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3f996f0eb7411eb9f09e7df20500045">
        <w:r w:rsidRPr="00532B9F">
          <w:rPr>
            <w:rFonts w:ascii="Times New Roman" w:eastAsia="MS Mincho" w:hAnsi="Times New Roman"/>
            <w:sz w:val="20"/>
            <w:iCs/>
            <w:color w:val="0000FF" w:themeColor="hyperlink"/>
            <w:u w:val="single"/>
          </w:rPr>
          <w:t>V-1707</w:t>
        </w:r>
      </w:fldSimple>
      <w:r>
        <w:rPr>
          <w:rFonts w:ascii="Times New Roman" w:eastAsia="MS Mincho" w:hAnsi="Times New Roman"/>
          <w:sz w:val="20"/>
          <w:iCs/>
        </w:rPr>
        <w:t>,
2021-07-22,
paskelbta TAR 2021-07-23, i. k. 2021-16380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5</w:t>
    </w:r>
    <w:r>
      <w:rPr>
        <w:sz w:val="20"/>
        <w:szCs w:val="24"/>
        <w:lang w:val="en-GB" w:eastAsia="x-none"/>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10</w:t>
    </w:r>
    <w:r>
      <w:rPr>
        <w:sz w:val="20"/>
        <w:szCs w:val="24"/>
        <w:lang w:val="en-GB" w:eastAsia="x-none"/>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2.wmf"/>
  <Relationship Id="rId11" Type="http://schemas.openxmlformats.org/officeDocument/2006/relationships/header" Target="header16.xml"/>
  <Relationship Id="rId12" Type="http://schemas.openxmlformats.org/officeDocument/2006/relationships/header" Target="header17.xml"/>
  <Relationship Id="rId13" Type="http://schemas.openxmlformats.org/officeDocument/2006/relationships/footer" Target="footer16.xml"/>
  <Relationship Id="rId14" Type="http://schemas.openxmlformats.org/officeDocument/2006/relationships/footer" Target="footer17.xml"/>
  <Relationship Id="rId15" Type="http://schemas.openxmlformats.org/officeDocument/2006/relationships/header" Target="header18.xml"/>
  <Relationship Id="rId16" Type="http://schemas.openxmlformats.org/officeDocument/2006/relationships/footer" Target="footer18.xml"/>
  <Relationship Id="rId17" Type="http://schemas.openxmlformats.org/officeDocument/2006/relationships/header" Target="header19.xml"/>
  <Relationship Id="rId18" Type="http://schemas.openxmlformats.org/officeDocument/2006/relationships/header" Target="header20.xml"/>
  <Relationship Id="rId19" Type="http://schemas.openxmlformats.org/officeDocument/2006/relationships/footer" Target="footer19.xml"/>
  <Relationship Id="rId2" Type="http://schemas.openxmlformats.org/officeDocument/2006/relationships/fontTable" Target="fontTable.xml"/>
  <Relationship Id="rId20" Type="http://schemas.openxmlformats.org/officeDocument/2006/relationships/footer" Target="footer20.xml"/>
  <Relationship Id="rId21" Type="http://schemas.openxmlformats.org/officeDocument/2006/relationships/header" Target="header21.xml"/>
  <Relationship Id="rId22" Type="http://schemas.openxmlformats.org/officeDocument/2006/relationships/footer" Target="footer21.xml"/>
  <Relationship Id="rId3" Type="http://schemas.openxmlformats.org/officeDocument/2006/relationships/footnotes" Target="footnotes.xml"/>
  <Relationship Id="rId4" Type="http://schemas.openxmlformats.org/officeDocument/2006/relationships/image" Target="media/image2.emf"/>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61</TotalTime>
  <Pages>29</Pages>
  <Words>44619</Words>
  <Characters>25433</Characters>
  <Application>Microsoft Office Word</Application>
  <DocSecurity>0</DocSecurity>
  <Lines>211</Lines>
  <Paragraphs>139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69913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TAMALIŪNIENĖ Vilija</lastModifiedBy>
  <dcterms:modified xsi:type="dcterms:W3CDTF">2021-07-26T13:54:00Z</dcterms:modified>
  <revision>36</revision>
  <dc:title>LIETUVOS RESPUBLIKOS SVEIKATOS APSAUGOS MINISTRO</dc:title>
</coreProperties>
</file>